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18452F"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5382A4B8" w:rsidR="006D3771" w:rsidRPr="008B6B20" w:rsidRDefault="003F4E0F" w:rsidP="006D3771">
            <w:pPr>
              <w:jc w:val="center"/>
              <w:rPr>
                <w:sz w:val="32"/>
                <w:szCs w:val="32"/>
                <w:lang w:val="en-GB"/>
              </w:rPr>
            </w:pPr>
            <w:r>
              <w:rPr>
                <w:sz w:val="32"/>
                <w:szCs w:val="32"/>
                <w:lang w:val="en-GB"/>
              </w:rPr>
              <w:t>L</w:t>
            </w:r>
            <w:r w:rsidR="00AF2511">
              <w:rPr>
                <w:sz w:val="32"/>
                <w:szCs w:val="32"/>
                <w:lang w:val="en-GB"/>
              </w:rPr>
              <w:t>ithuania</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2F3B3B93" w:rsidR="008B6B20" w:rsidRPr="00574B1E" w:rsidRDefault="00000000" w:rsidP="008B6B20">
      <w:pPr>
        <w:rPr>
          <w:rFonts w:ascii="Calibri" w:hAnsi="Calibri" w:cs="Calibri"/>
          <w:lang w:val="en-US"/>
        </w:rPr>
      </w:pPr>
      <w:hyperlink r:id="rId11" w:history="1">
        <w:r w:rsidR="00AF2511">
          <w:rPr>
            <w:rStyle w:val="Hyperlink"/>
            <w:rFonts w:ascii="Calibri" w:hAnsi="Calibri" w:cs="Calibri"/>
            <w:lang w:val="en-US"/>
          </w:rPr>
          <w:t>CEPEJ Evaluation Report - Country Profiles – Lithuania</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7A08C074"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AF2511">
          <w:rPr>
            <w:rStyle w:val="Hyperlink"/>
            <w:rFonts w:ascii="Calibri" w:hAnsi="Calibri" w:cs="Calibri"/>
            <w:lang w:val="en-US"/>
          </w:rPr>
          <w:t>CEPEJ Country fiche - Scoreboard - Lithuania (2022 data)</w:t>
        </w:r>
      </w:hyperlink>
    </w:p>
    <w:p w14:paraId="06E798A9" w14:textId="77777777" w:rsidR="008B6B20"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5DC20537" w14:textId="77777777" w:rsidR="0018452F" w:rsidRDefault="0018452F" w:rsidP="008B6B20">
      <w:pPr>
        <w:autoSpaceDE w:val="0"/>
        <w:autoSpaceDN w:val="0"/>
        <w:jc w:val="both"/>
        <w:rPr>
          <w:rFonts w:ascii="Calibri" w:hAnsi="Calibri" w:cs="Calibri"/>
          <w:color w:val="000000"/>
          <w:lang w:val="en-US"/>
        </w:rPr>
      </w:pPr>
    </w:p>
    <w:p w14:paraId="4C932880" w14:textId="77777777" w:rsidR="0018452F" w:rsidRDefault="0018452F" w:rsidP="0018452F">
      <w:pPr>
        <w:pStyle w:val="Default"/>
        <w:jc w:val="both"/>
        <w:rPr>
          <w:rFonts w:asciiTheme="minorHAnsi" w:eastAsiaTheme="minorEastAsia" w:hAnsiTheme="minorHAnsi" w:cstheme="minorHAnsi"/>
          <w:b/>
          <w:bCs/>
          <w:color w:val="auto"/>
          <w:sz w:val="20"/>
          <w:szCs w:val="20"/>
          <w:lang w:val="en-GB"/>
        </w:rPr>
      </w:pPr>
      <w:bookmarkStart w:id="0" w:name="_Hlk189207651"/>
      <w:bookmarkStart w:id="1" w:name="_Hlk189208189"/>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Pr>
          <w:rFonts w:asciiTheme="minorHAnsi" w:eastAsiaTheme="minorEastAsia" w:hAnsiTheme="minorHAnsi" w:cstheme="minorHAnsi"/>
          <w:b/>
          <w:bCs/>
          <w:color w:val="auto"/>
          <w:sz w:val="20"/>
          <w:szCs w:val="20"/>
          <w:lang w:val="en-GB"/>
        </w:rPr>
        <w:t>Lithuania</w:t>
      </w:r>
    </w:p>
    <w:p w14:paraId="44859B34" w14:textId="77777777" w:rsidR="0018452F" w:rsidRDefault="0018452F" w:rsidP="0018452F">
      <w:pPr>
        <w:pStyle w:val="Default"/>
        <w:jc w:val="both"/>
        <w:rPr>
          <w:rFonts w:asciiTheme="minorHAnsi" w:eastAsiaTheme="minorEastAsia" w:hAnsiTheme="minorHAnsi" w:cstheme="minorHAnsi"/>
          <w:b/>
          <w:bCs/>
          <w:color w:val="auto"/>
          <w:sz w:val="20"/>
          <w:szCs w:val="20"/>
          <w:lang w:val="en-GB"/>
        </w:rPr>
      </w:pPr>
    </w:p>
    <w:p w14:paraId="549FF886" w14:textId="77777777" w:rsidR="0018452F" w:rsidRPr="00FF2525" w:rsidRDefault="0018452F" w:rsidP="0018452F">
      <w:pPr>
        <w:pStyle w:val="Default"/>
        <w:jc w:val="both"/>
        <w:rPr>
          <w:rFonts w:cstheme="minorHAnsi"/>
          <w:b/>
          <w:bCs/>
          <w:i/>
          <w:iCs/>
          <w:sz w:val="20"/>
          <w:szCs w:val="20"/>
          <w:lang w:val="en-US"/>
        </w:rPr>
      </w:pPr>
      <w:bookmarkStart w:id="2" w:name="_Hlk189208018"/>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4"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w:t>
      </w:r>
      <w:proofErr w:type="spellStart"/>
      <w:r w:rsidRPr="003C3013">
        <w:rPr>
          <w:rFonts w:cstheme="minorHAnsi"/>
          <w:b/>
          <w:bCs/>
          <w:i/>
          <w:iCs/>
          <w:sz w:val="20"/>
          <w:szCs w:val="20"/>
          <w:lang w:val="en-US"/>
        </w:rPr>
        <w:t>CoE’s</w:t>
      </w:r>
      <w:proofErr w:type="spellEnd"/>
      <w:r w:rsidRPr="003C3013">
        <w:rPr>
          <w:rFonts w:cstheme="minorHAnsi"/>
          <w:b/>
          <w:bCs/>
          <w:i/>
          <w:iCs/>
          <w:sz w:val="20"/>
          <w:szCs w:val="20"/>
          <w:lang w:val="en-US"/>
        </w:rPr>
        <w:t xml:space="preserve"> Department for the Execution of Judgments can be consulted for any question on statistics: </w:t>
      </w:r>
      <w:hyperlink r:id="rId15" w:history="1">
        <w:r w:rsidRPr="003C3013">
          <w:rPr>
            <w:rStyle w:val="Hyperlink"/>
            <w:rFonts w:cstheme="minorHAnsi"/>
            <w:b/>
            <w:bCs/>
            <w:i/>
            <w:iCs/>
            <w:sz w:val="20"/>
            <w:szCs w:val="20"/>
            <w:lang w:val="en-US"/>
          </w:rPr>
          <w:t>DGI-Execution@coe.int</w:t>
        </w:r>
      </w:hyperlink>
      <w:bookmarkEnd w:id="0"/>
      <w:r w:rsidRPr="003C3013">
        <w:rPr>
          <w:rFonts w:cstheme="minorHAnsi"/>
          <w:b/>
          <w:bCs/>
          <w:i/>
          <w:iCs/>
          <w:sz w:val="20"/>
          <w:szCs w:val="20"/>
          <w:lang w:val="en-US"/>
        </w:rPr>
        <w:t>.</w:t>
      </w:r>
    </w:p>
    <w:bookmarkEnd w:id="1"/>
    <w:bookmarkEnd w:id="2"/>
    <w:p w14:paraId="289739DA" w14:textId="77777777" w:rsidR="0018452F" w:rsidRDefault="0018452F" w:rsidP="008B6B20">
      <w:pPr>
        <w:autoSpaceDE w:val="0"/>
        <w:autoSpaceDN w:val="0"/>
        <w:jc w:val="both"/>
        <w:rPr>
          <w:rFonts w:ascii="Calibri" w:hAnsi="Calibri" w:cs="Calibri"/>
          <w:color w:val="000000"/>
          <w:lang w:val="en-US"/>
        </w:rPr>
      </w:pPr>
    </w:p>
    <w:p w14:paraId="19152C91" w14:textId="77777777" w:rsidR="0018452F" w:rsidRDefault="0018452F" w:rsidP="0018452F">
      <w:pPr>
        <w:pStyle w:val="ListParagraph"/>
        <w:numPr>
          <w:ilvl w:val="0"/>
          <w:numId w:val="13"/>
        </w:numPr>
        <w:autoSpaceDE w:val="0"/>
        <w:autoSpaceDN w:val="0"/>
        <w:adjustRightInd w:val="0"/>
        <w:jc w:val="both"/>
        <w:rPr>
          <w:rFonts w:eastAsia="Calibri" w:cstheme="minorHAnsi"/>
          <w:i/>
          <w:iCs/>
          <w:lang w:val="en-GB"/>
        </w:rPr>
      </w:pPr>
      <w:r w:rsidRPr="00CB05B5">
        <w:rPr>
          <w:rFonts w:eastAsia="Calibri" w:cstheme="minorHAnsi"/>
          <w:i/>
          <w:iCs/>
          <w:lang w:val="en-GB"/>
        </w:rPr>
        <w:t>IMPARTIALITY</w:t>
      </w:r>
    </w:p>
    <w:p w14:paraId="5C5B8161" w14:textId="77777777" w:rsidR="0018452F" w:rsidRPr="00CB05B5" w:rsidRDefault="0018452F" w:rsidP="0018452F">
      <w:pPr>
        <w:pStyle w:val="ListParagraph"/>
        <w:autoSpaceDE w:val="0"/>
        <w:autoSpaceDN w:val="0"/>
        <w:adjustRightInd w:val="0"/>
        <w:jc w:val="both"/>
        <w:rPr>
          <w:rFonts w:eastAsia="Calibri" w:cstheme="minorHAnsi"/>
          <w:i/>
          <w:iCs/>
          <w:lang w:val="en-GB"/>
        </w:rPr>
      </w:pPr>
      <w:r w:rsidRPr="00CB05B5">
        <w:rPr>
          <w:rFonts w:eastAsia="Calibri" w:cstheme="minorHAnsi"/>
          <w:i/>
          <w:iCs/>
          <w:lang w:val="en-GB"/>
        </w:rPr>
        <w:t xml:space="preserve"> </w:t>
      </w:r>
    </w:p>
    <w:p w14:paraId="3D7F43C0" w14:textId="77777777" w:rsidR="0018452F" w:rsidRPr="00F212CC" w:rsidRDefault="0018452F" w:rsidP="0018452F">
      <w:pPr>
        <w:jc w:val="both"/>
        <w:rPr>
          <w:rFonts w:eastAsia="Calibri" w:cstheme="minorHAnsi"/>
          <w:color w:val="000000"/>
          <w:lang w:val="en-GB"/>
        </w:rPr>
      </w:pPr>
      <w:proofErr w:type="spellStart"/>
      <w:r w:rsidRPr="00F212CC">
        <w:rPr>
          <w:rFonts w:eastAsia="Calibri" w:cstheme="minorHAnsi"/>
          <w:u w:val="single"/>
          <w:lang w:val="en-GB"/>
        </w:rPr>
        <w:t>Sacharuk</w:t>
      </w:r>
      <w:proofErr w:type="spellEnd"/>
      <w:r w:rsidRPr="00F212CC">
        <w:rPr>
          <w:rFonts w:eastAsia="Calibri" w:cstheme="minorHAnsi"/>
          <w:u w:val="single"/>
          <w:lang w:val="en-GB"/>
        </w:rPr>
        <w:t xml:space="preserve"> v Lithuania (39300/18) (STAND)</w:t>
      </w:r>
      <w:r w:rsidRPr="00F212CC">
        <w:rPr>
          <w:rFonts w:eastAsia="Calibri" w:cstheme="minorHAnsi"/>
          <w:i/>
          <w:iCs/>
          <w:lang w:val="en-GB"/>
        </w:rPr>
        <w:t xml:space="preserve">: </w:t>
      </w:r>
      <w:r w:rsidRPr="00F212CC">
        <w:rPr>
          <w:rFonts w:eastAsia="Calibri" w:cstheme="minorHAnsi"/>
          <w:lang w:val="en-GB"/>
        </w:rPr>
        <w:t xml:space="preserve">This case concerns the </w:t>
      </w:r>
      <w:r w:rsidRPr="00F212CC">
        <w:rPr>
          <w:rStyle w:val="sbb9ee52a"/>
          <w:rFonts w:cstheme="minorHAnsi"/>
          <w:color w:val="000000"/>
          <w:shd w:val="clear" w:color="auto" w:fill="FFFFFF"/>
          <w:lang w:val="en-US"/>
        </w:rPr>
        <w:t>applicant’s objectively justified doubts as to the impartiality of the Supreme Court upholding his conviction in 2018, on account of one of its members having presided over the panel of that court in the first proceedings which quashed the Court of Appeal’s acquittal judgment and made findings prejudging his guilt (violation of Article 6 § 1).</w:t>
      </w:r>
    </w:p>
    <w:p w14:paraId="5656EA99" w14:textId="77777777" w:rsidR="0018452F" w:rsidRPr="00F212CC" w:rsidRDefault="0018452F" w:rsidP="0018452F">
      <w:pPr>
        <w:autoSpaceDE w:val="0"/>
        <w:autoSpaceDN w:val="0"/>
        <w:adjustRightInd w:val="0"/>
        <w:jc w:val="both"/>
        <w:rPr>
          <w:rFonts w:eastAsia="Calibri" w:cstheme="minorHAnsi"/>
          <w:color w:val="0000FF"/>
          <w:u w:val="single"/>
          <w:lang w:val="en-GB"/>
        </w:rPr>
      </w:pPr>
      <w:r w:rsidRPr="00F212CC">
        <w:rPr>
          <w:rFonts w:eastAsia="Calibri" w:cstheme="minorHAnsi"/>
          <w:lang w:val="en-GB"/>
        </w:rPr>
        <w:lastRenderedPageBreak/>
        <w:t xml:space="preserve">Presentation on </w:t>
      </w:r>
      <w:proofErr w:type="spellStart"/>
      <w:r w:rsidRPr="00F212CC">
        <w:rPr>
          <w:rFonts w:eastAsia="Calibri" w:cstheme="minorHAnsi"/>
          <w:lang w:val="en-GB"/>
        </w:rPr>
        <w:t>Hudoc.exec</w:t>
      </w:r>
      <w:proofErr w:type="spellEnd"/>
      <w:r w:rsidRPr="00F212CC">
        <w:rPr>
          <w:rFonts w:eastAsia="Calibri" w:cstheme="minorHAnsi"/>
          <w:lang w:val="en-GB"/>
        </w:rPr>
        <w:t xml:space="preserve">: </w:t>
      </w:r>
      <w:hyperlink r:id="rId16" w:history="1">
        <w:proofErr w:type="spellStart"/>
        <w:r w:rsidRPr="00F212CC">
          <w:rPr>
            <w:rStyle w:val="Hyperlink"/>
            <w:rFonts w:eastAsia="Calibri" w:cstheme="minorHAnsi"/>
            <w:color w:val="0000FF"/>
            <w:lang w:val="en-GB"/>
          </w:rPr>
          <w:t>Sacharuk</w:t>
        </w:r>
        <w:proofErr w:type="spellEnd"/>
        <w:r w:rsidRPr="00F212CC">
          <w:rPr>
            <w:rStyle w:val="Hyperlink"/>
            <w:rFonts w:eastAsia="Calibri" w:cstheme="minorHAnsi"/>
            <w:i/>
            <w:iCs/>
            <w:color w:val="0000FF"/>
            <w:lang w:val="en-GB"/>
          </w:rPr>
          <w:t xml:space="preserve">  </w:t>
        </w:r>
      </w:hyperlink>
      <w:r w:rsidRPr="00F212CC">
        <w:rPr>
          <w:rFonts w:eastAsia="Calibri" w:cstheme="minorHAnsi"/>
          <w:i/>
          <w:iCs/>
          <w:color w:val="0000FF"/>
          <w:u w:val="single"/>
          <w:lang w:val="en-GB"/>
        </w:rPr>
        <w:t xml:space="preserve"> </w:t>
      </w:r>
    </w:p>
    <w:p w14:paraId="5F72E538" w14:textId="77777777" w:rsidR="0018452F" w:rsidRPr="00F212CC" w:rsidRDefault="0018452F" w:rsidP="0018452F">
      <w:pPr>
        <w:jc w:val="both"/>
        <w:rPr>
          <w:rFonts w:cstheme="minorHAnsi"/>
          <w:lang w:val="en-GB"/>
        </w:rPr>
      </w:pPr>
      <w:bookmarkStart w:id="3" w:name="_Hlk152940656"/>
      <w:r w:rsidRPr="00F212CC">
        <w:rPr>
          <w:rFonts w:cstheme="minorHAnsi"/>
          <w:lang w:val="en-GB"/>
        </w:rPr>
        <w:t>Latest decisions: n/a</w:t>
      </w:r>
    </w:p>
    <w:bookmarkEnd w:id="3"/>
    <w:p w14:paraId="55D075ED" w14:textId="77777777" w:rsidR="0018452F" w:rsidRPr="00F212CC" w:rsidRDefault="0018452F" w:rsidP="0018452F">
      <w:pPr>
        <w:autoSpaceDE w:val="0"/>
        <w:autoSpaceDN w:val="0"/>
        <w:adjustRightInd w:val="0"/>
        <w:jc w:val="both"/>
        <w:rPr>
          <w:rFonts w:cstheme="minorHAnsi"/>
          <w:lang w:val="en-US"/>
        </w:rPr>
      </w:pPr>
      <w:r w:rsidRPr="00F212CC">
        <w:rPr>
          <w:rFonts w:eastAsia="Calibri" w:cstheme="minorHAnsi"/>
          <w:lang w:val="en-GB"/>
        </w:rPr>
        <w:t xml:space="preserve">Latest information: </w:t>
      </w:r>
      <w:hyperlink r:id="rId17" w:history="1">
        <w:r w:rsidRPr="00F212CC">
          <w:rPr>
            <w:rStyle w:val="Hyperlink"/>
            <w:rFonts w:cstheme="minorHAnsi"/>
            <w:lang w:val="en-US"/>
          </w:rPr>
          <w:t>DH-</w:t>
        </w:r>
        <w:proofErr w:type="gramStart"/>
        <w:r w:rsidRPr="00F212CC">
          <w:rPr>
            <w:rStyle w:val="Hyperlink"/>
            <w:rFonts w:cstheme="minorHAnsi"/>
            <w:lang w:val="en-US"/>
          </w:rPr>
          <w:t>DD(</w:t>
        </w:r>
        <w:proofErr w:type="gramEnd"/>
        <w:r w:rsidRPr="00F212CC">
          <w:rPr>
            <w:rStyle w:val="Hyperlink"/>
            <w:rFonts w:cstheme="minorHAnsi"/>
            <w:lang w:val="en-US"/>
          </w:rPr>
          <w:t xml:space="preserve">2024)1330 </w:t>
        </w:r>
      </w:hyperlink>
      <w:r w:rsidRPr="00F212CC">
        <w:rPr>
          <w:rFonts w:cstheme="minorHAnsi"/>
          <w:lang w:val="en-US"/>
        </w:rPr>
        <w:t xml:space="preserve"> </w:t>
      </w:r>
    </w:p>
    <w:p w14:paraId="3948E41C" w14:textId="77777777" w:rsidR="0018452F" w:rsidRPr="00F212CC" w:rsidRDefault="0018452F" w:rsidP="0018452F">
      <w:pPr>
        <w:autoSpaceDE w:val="0"/>
        <w:autoSpaceDN w:val="0"/>
        <w:adjustRightInd w:val="0"/>
        <w:jc w:val="both"/>
        <w:rPr>
          <w:rFonts w:cstheme="minorHAnsi"/>
          <w:lang w:val="en-US"/>
        </w:rPr>
      </w:pPr>
    </w:p>
    <w:p w14:paraId="3C63C5F0" w14:textId="77777777" w:rsidR="0018452F" w:rsidRDefault="0018452F" w:rsidP="0018452F">
      <w:pPr>
        <w:pStyle w:val="ListParagraph"/>
        <w:numPr>
          <w:ilvl w:val="0"/>
          <w:numId w:val="13"/>
        </w:numPr>
        <w:autoSpaceDE w:val="0"/>
        <w:autoSpaceDN w:val="0"/>
        <w:adjustRightInd w:val="0"/>
        <w:jc w:val="both"/>
        <w:rPr>
          <w:rFonts w:cstheme="minorHAnsi"/>
          <w:lang w:val="en-US"/>
        </w:rPr>
      </w:pPr>
      <w:r w:rsidRPr="00CB05B5">
        <w:rPr>
          <w:rFonts w:cstheme="minorHAnsi"/>
          <w:i/>
          <w:iCs/>
          <w:lang w:val="en-US"/>
        </w:rPr>
        <w:t>ACCESS TO A TRIBUNAL</w:t>
      </w:r>
      <w:r w:rsidRPr="00CB05B5">
        <w:rPr>
          <w:rFonts w:cstheme="minorHAnsi"/>
          <w:lang w:val="en-US"/>
        </w:rPr>
        <w:t xml:space="preserve"> </w:t>
      </w:r>
    </w:p>
    <w:p w14:paraId="5AAD51C4" w14:textId="77777777" w:rsidR="0018452F" w:rsidRPr="00CB05B5" w:rsidRDefault="0018452F" w:rsidP="0018452F">
      <w:pPr>
        <w:pStyle w:val="ListParagraph"/>
        <w:autoSpaceDE w:val="0"/>
        <w:autoSpaceDN w:val="0"/>
        <w:adjustRightInd w:val="0"/>
        <w:jc w:val="both"/>
        <w:rPr>
          <w:rFonts w:cstheme="minorHAnsi"/>
          <w:lang w:val="en-US"/>
        </w:rPr>
      </w:pPr>
    </w:p>
    <w:p w14:paraId="4626B447" w14:textId="77777777" w:rsidR="0018452F" w:rsidRPr="00F212CC" w:rsidRDefault="0018452F" w:rsidP="0018452F">
      <w:pPr>
        <w:jc w:val="both"/>
        <w:rPr>
          <w:rFonts w:eastAsia="Calibri" w:cstheme="minorHAnsi"/>
          <w:color w:val="000000"/>
          <w:lang w:val="en-GB"/>
        </w:rPr>
      </w:pPr>
      <w:proofErr w:type="spellStart"/>
      <w:r w:rsidRPr="00F212CC">
        <w:rPr>
          <w:rFonts w:eastAsia="Calibri" w:cstheme="minorHAnsi"/>
          <w:u w:val="single"/>
          <w:lang w:val="en-GB"/>
        </w:rPr>
        <w:t>Girdauskiene</w:t>
      </w:r>
      <w:proofErr w:type="spellEnd"/>
      <w:r w:rsidRPr="00F212CC">
        <w:rPr>
          <w:rFonts w:eastAsia="Calibri" w:cstheme="minorHAnsi"/>
          <w:u w:val="single"/>
          <w:lang w:val="en-GB"/>
        </w:rPr>
        <w:t xml:space="preserve"> v Lithuania (54171/21) (NEW)</w:t>
      </w:r>
      <w:r w:rsidRPr="00F212CC">
        <w:rPr>
          <w:rFonts w:eastAsia="Calibri" w:cstheme="minorHAnsi"/>
          <w:i/>
          <w:iCs/>
          <w:lang w:val="en-GB"/>
        </w:rPr>
        <w:t xml:space="preserve">: </w:t>
      </w:r>
      <w:r w:rsidRPr="00F212CC">
        <w:rPr>
          <w:rFonts w:eastAsia="Calibri" w:cstheme="minorHAnsi"/>
          <w:lang w:val="en-GB"/>
        </w:rPr>
        <w:t xml:space="preserve">This case concerns </w:t>
      </w:r>
      <w:r w:rsidRPr="00F212CC">
        <w:rPr>
          <w:rFonts w:cstheme="minorHAnsi"/>
          <w:color w:val="000000"/>
          <w:shd w:val="clear" w:color="auto" w:fill="FFFFFF"/>
          <w:lang w:val="en-US"/>
        </w:rPr>
        <w:t>the lack of access to a court because of the disproportionate distribution of the litigation costs in civil proceedings of 2021 (</w:t>
      </w:r>
      <w:r w:rsidRPr="00F212CC">
        <w:rPr>
          <w:rStyle w:val="sbb9ee52a"/>
          <w:rFonts w:cstheme="minorHAnsi"/>
          <w:color w:val="000000"/>
          <w:shd w:val="clear" w:color="auto" w:fill="FFFFFF"/>
          <w:lang w:val="en-US"/>
        </w:rPr>
        <w:t xml:space="preserve">violation of </w:t>
      </w:r>
      <w:r w:rsidRPr="00F212CC">
        <w:rPr>
          <w:rFonts w:cstheme="minorHAnsi"/>
          <w:color w:val="000000"/>
          <w:shd w:val="clear" w:color="auto" w:fill="FFFFFF"/>
          <w:lang w:val="en-US"/>
        </w:rPr>
        <w:t>Article 6)</w:t>
      </w:r>
      <w:r w:rsidRPr="00F212CC">
        <w:rPr>
          <w:rStyle w:val="sbb9ee52a"/>
          <w:rFonts w:cstheme="minorHAnsi"/>
          <w:color w:val="000000"/>
          <w:shd w:val="clear" w:color="auto" w:fill="FFFFFF"/>
          <w:lang w:val="en-US"/>
        </w:rPr>
        <w:t>.</w:t>
      </w:r>
    </w:p>
    <w:p w14:paraId="55DEED18" w14:textId="77777777" w:rsidR="0018452F" w:rsidRPr="00F212CC" w:rsidRDefault="0018452F" w:rsidP="0018452F">
      <w:pPr>
        <w:autoSpaceDE w:val="0"/>
        <w:autoSpaceDN w:val="0"/>
        <w:adjustRightInd w:val="0"/>
        <w:jc w:val="both"/>
        <w:rPr>
          <w:rFonts w:eastAsia="Calibri" w:cstheme="minorHAnsi"/>
          <w:color w:val="0000FF"/>
          <w:u w:val="single"/>
          <w:lang w:val="en-GB"/>
        </w:rPr>
      </w:pPr>
      <w:r w:rsidRPr="00F212CC">
        <w:rPr>
          <w:rFonts w:eastAsia="Calibri" w:cstheme="minorHAnsi"/>
          <w:lang w:val="en-GB"/>
        </w:rPr>
        <w:t xml:space="preserve">Presentation on </w:t>
      </w:r>
      <w:proofErr w:type="spellStart"/>
      <w:r w:rsidRPr="00F212CC">
        <w:rPr>
          <w:rFonts w:eastAsia="Calibri" w:cstheme="minorHAnsi"/>
          <w:lang w:val="en-GB"/>
        </w:rPr>
        <w:t>Hudoc.exec</w:t>
      </w:r>
      <w:proofErr w:type="spellEnd"/>
      <w:r w:rsidRPr="00F212CC">
        <w:rPr>
          <w:rFonts w:eastAsia="Calibri" w:cstheme="minorHAnsi"/>
          <w:lang w:val="en-GB"/>
        </w:rPr>
        <w:t xml:space="preserve">: </w:t>
      </w:r>
      <w:hyperlink r:id="rId18" w:history="1">
        <w:proofErr w:type="spellStart"/>
        <w:r w:rsidRPr="00F212CC">
          <w:rPr>
            <w:rStyle w:val="Hyperlink"/>
            <w:rFonts w:eastAsia="Calibri" w:cstheme="minorHAnsi"/>
            <w:color w:val="0000FF"/>
            <w:lang w:val="en-GB"/>
          </w:rPr>
          <w:t>Girdauskiene</w:t>
        </w:r>
        <w:proofErr w:type="spellEnd"/>
        <w:r w:rsidRPr="00F212CC">
          <w:rPr>
            <w:rStyle w:val="Hyperlink"/>
            <w:rFonts w:eastAsia="Calibri" w:cstheme="minorHAnsi"/>
            <w:i/>
            <w:iCs/>
            <w:color w:val="0000FF"/>
            <w:lang w:val="en-GB"/>
          </w:rPr>
          <w:t xml:space="preserve">  </w:t>
        </w:r>
      </w:hyperlink>
      <w:r w:rsidRPr="00F212CC">
        <w:rPr>
          <w:rFonts w:eastAsia="Calibri" w:cstheme="minorHAnsi"/>
          <w:i/>
          <w:iCs/>
          <w:color w:val="0000FF"/>
          <w:u w:val="single"/>
          <w:lang w:val="en-GB"/>
        </w:rPr>
        <w:t xml:space="preserve"> </w:t>
      </w:r>
    </w:p>
    <w:p w14:paraId="643AA1BC" w14:textId="77777777" w:rsidR="0018452F" w:rsidRPr="00F212CC" w:rsidRDefault="0018452F" w:rsidP="0018452F">
      <w:pPr>
        <w:jc w:val="both"/>
        <w:rPr>
          <w:rFonts w:cstheme="minorHAnsi"/>
          <w:lang w:val="en-GB"/>
        </w:rPr>
      </w:pPr>
      <w:r w:rsidRPr="006F68F5">
        <w:rPr>
          <w:rFonts w:cstheme="minorHAnsi"/>
          <w:lang w:val="en-GB"/>
        </w:rPr>
        <w:t>Latest decisions</w:t>
      </w:r>
      <w:r w:rsidRPr="00F212CC">
        <w:rPr>
          <w:rFonts w:cstheme="minorHAnsi"/>
          <w:lang w:val="en-GB"/>
        </w:rPr>
        <w:t>: n/a</w:t>
      </w:r>
    </w:p>
    <w:p w14:paraId="385B9857" w14:textId="77777777" w:rsidR="0018452F" w:rsidRPr="00F212CC" w:rsidRDefault="0018452F" w:rsidP="0018452F">
      <w:pPr>
        <w:autoSpaceDE w:val="0"/>
        <w:autoSpaceDN w:val="0"/>
        <w:adjustRightInd w:val="0"/>
        <w:jc w:val="both"/>
        <w:rPr>
          <w:rFonts w:cstheme="minorHAnsi"/>
          <w:lang w:val="en-US"/>
        </w:rPr>
      </w:pPr>
      <w:r w:rsidRPr="00F212CC">
        <w:rPr>
          <w:rFonts w:eastAsia="Calibri" w:cstheme="minorHAnsi"/>
          <w:lang w:val="en-GB"/>
        </w:rPr>
        <w:t xml:space="preserve">Latest information: </w:t>
      </w:r>
      <w:r w:rsidRPr="00F212CC">
        <w:rPr>
          <w:lang w:val="en-US"/>
        </w:rPr>
        <w:t>n/a</w:t>
      </w:r>
    </w:p>
    <w:p w14:paraId="455B28FD" w14:textId="77777777" w:rsidR="0018452F" w:rsidRPr="0003402A" w:rsidRDefault="0018452F" w:rsidP="008B6B20">
      <w:pPr>
        <w:autoSpaceDE w:val="0"/>
        <w:autoSpaceDN w:val="0"/>
        <w:jc w:val="both"/>
        <w:rPr>
          <w:rFonts w:ascii="Calibri" w:hAnsi="Calibri" w:cs="Calibri"/>
          <w:color w:val="000000"/>
          <w:lang w:val="en-US"/>
        </w:rPr>
      </w:pP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117F0546" w14:textId="77777777" w:rsidR="0095725A" w:rsidRPr="0095725A" w:rsidRDefault="0095725A" w:rsidP="0095725A">
      <w:pPr>
        <w:keepNext/>
        <w:spacing w:before="320"/>
        <w:outlineLvl w:val="0"/>
        <w:rPr>
          <w:rFonts w:ascii="Calibri Light" w:eastAsia="Times New Roman" w:hAnsi="Calibri Light" w:cs="Calibri Light"/>
          <w:color w:val="2F5496"/>
          <w:kern w:val="36"/>
          <w:sz w:val="32"/>
          <w:szCs w:val="32"/>
          <w:lang w:val="en-US"/>
        </w:rPr>
      </w:pPr>
      <w:bookmarkStart w:id="4" w:name="_Toc36635832"/>
      <w:r w:rsidRPr="00440B8B">
        <w:rPr>
          <w:rFonts w:ascii="Calibri Light" w:eastAsia="Times New Roman" w:hAnsi="Calibri Light" w:cs="Calibri Light"/>
          <w:color w:val="2F5496"/>
          <w:kern w:val="36"/>
          <w:sz w:val="32"/>
          <w:szCs w:val="32"/>
          <w:lang w:val="en-US"/>
        </w:rPr>
        <w:t xml:space="preserve">II </w:t>
      </w:r>
      <w:r w:rsidRPr="0095725A">
        <w:rPr>
          <w:rFonts w:ascii="Calibri Light" w:eastAsia="Times New Roman" w:hAnsi="Calibri Light" w:cs="Calibri Light"/>
          <w:color w:val="2F5496"/>
          <w:kern w:val="36"/>
          <w:sz w:val="32"/>
          <w:szCs w:val="32"/>
          <w:lang w:val="en-US"/>
        </w:rPr>
        <w:t>Anti-corruption framework</w:t>
      </w:r>
      <w:bookmarkEnd w:id="4"/>
      <w:r w:rsidRPr="0095725A">
        <w:rPr>
          <w:rFonts w:ascii="Calibri Light" w:eastAsia="Times New Roman" w:hAnsi="Calibri Light" w:cs="Calibri Light"/>
          <w:color w:val="2F5496"/>
          <w:kern w:val="36"/>
          <w:sz w:val="32"/>
          <w:szCs w:val="32"/>
          <w:lang w:val="en-US"/>
        </w:rPr>
        <w:t xml:space="preserve"> </w:t>
      </w:r>
    </w:p>
    <w:p w14:paraId="50FA172F" w14:textId="77777777" w:rsidR="0095725A" w:rsidRPr="0095725A" w:rsidRDefault="0095725A" w:rsidP="0095725A">
      <w:pPr>
        <w:keepNext/>
        <w:spacing w:before="320"/>
        <w:outlineLvl w:val="0"/>
        <w:rPr>
          <w:rFonts w:ascii="Calibri Light" w:eastAsia="Times New Roman" w:hAnsi="Calibri Light" w:cs="Calibri Light"/>
          <w:color w:val="2F5496"/>
          <w:kern w:val="36"/>
          <w:sz w:val="32"/>
          <w:szCs w:val="32"/>
          <w:lang w:val="en-US"/>
        </w:rPr>
      </w:pPr>
    </w:p>
    <w:p w14:paraId="49F28922" w14:textId="77777777" w:rsidR="00440B8B" w:rsidRDefault="00440B8B" w:rsidP="00440B8B">
      <w:pPr>
        <w:rPr>
          <w:lang w:val="en-US"/>
        </w:rPr>
      </w:pPr>
      <w:r>
        <w:rPr>
          <w:lang w:val="en-US"/>
        </w:rPr>
        <w:t>GRECO (14 May 2024)</w:t>
      </w:r>
    </w:p>
    <w:p w14:paraId="7883BD55" w14:textId="77777777" w:rsidR="00440B8B" w:rsidRDefault="00000000" w:rsidP="00440B8B">
      <w:pPr>
        <w:rPr>
          <w:lang w:val="en-US"/>
        </w:rPr>
      </w:pPr>
      <w:hyperlink r:id="rId19" w:history="1">
        <w:r w:rsidR="00440B8B" w:rsidRPr="00F02266">
          <w:rPr>
            <w:rStyle w:val="Hyperlink"/>
            <w:lang w:val="en-US"/>
          </w:rPr>
          <w:t>Compliance Report</w:t>
        </w:r>
      </w:hyperlink>
    </w:p>
    <w:p w14:paraId="710359DD" w14:textId="77777777" w:rsidR="00440B8B" w:rsidRDefault="00440B8B" w:rsidP="00440B8B">
      <w:pPr>
        <w:rPr>
          <w:lang w:val="en-GB"/>
        </w:rPr>
      </w:pPr>
      <w:r w:rsidRPr="00D41BB6">
        <w:rPr>
          <w:lang w:val="en-GB"/>
        </w:rPr>
        <w:t>5</w:t>
      </w:r>
      <w:r w:rsidRPr="00D41BB6">
        <w:rPr>
          <w:vertAlign w:val="superscript"/>
          <w:lang w:val="en-GB"/>
        </w:rPr>
        <w:t>th</w:t>
      </w:r>
      <w:r>
        <w:rPr>
          <w:lang w:val="en-GB"/>
        </w:rPr>
        <w:t xml:space="preserve"> </w:t>
      </w:r>
      <w:r w:rsidRPr="00D41BB6">
        <w:rPr>
          <w:lang w:val="en-GB"/>
        </w:rPr>
        <w:t>round: Preventing corruption and promoting integrity in central governments (top executive functions) and law enforcement agencies</w:t>
      </w:r>
    </w:p>
    <w:p w14:paraId="5EF341F8" w14:textId="77777777" w:rsidR="0007279C" w:rsidRDefault="0007279C" w:rsidP="00440B8B">
      <w:pPr>
        <w:rPr>
          <w:lang w:val="en-GB"/>
        </w:rPr>
      </w:pPr>
    </w:p>
    <w:p w14:paraId="0FA59603" w14:textId="77777777" w:rsidR="0007279C" w:rsidRDefault="0007279C" w:rsidP="00440B8B">
      <w:pPr>
        <w:rPr>
          <w:lang w:val="en-GB"/>
        </w:rPr>
      </w:pPr>
    </w:p>
    <w:p w14:paraId="5581DE05" w14:textId="77777777" w:rsidR="0007279C" w:rsidRDefault="0007279C" w:rsidP="00440B8B">
      <w:pPr>
        <w:rPr>
          <w:lang w:val="en-GB"/>
        </w:rPr>
      </w:pPr>
    </w:p>
    <w:p w14:paraId="34F824DF" w14:textId="77777777" w:rsidR="0007279C" w:rsidRDefault="0007279C" w:rsidP="0007279C">
      <w:pPr>
        <w:pStyle w:val="NoSpacing"/>
        <w:rPr>
          <w:lang w:val="en-GB"/>
        </w:rPr>
      </w:pPr>
      <w:r>
        <w:rPr>
          <w:lang w:val="en-GB"/>
        </w:rPr>
        <w:t xml:space="preserve">MONEYVAL </w:t>
      </w:r>
    </w:p>
    <w:p w14:paraId="2EAB3F4D" w14:textId="77777777" w:rsidR="0007279C" w:rsidRDefault="00000000" w:rsidP="0007279C">
      <w:pPr>
        <w:pStyle w:val="NoSpacing"/>
        <w:rPr>
          <w:lang w:val="en-GB"/>
        </w:rPr>
      </w:pPr>
      <w:hyperlink r:id="rId20" w:history="1">
        <w:r w:rsidR="0007279C" w:rsidRPr="00831A31">
          <w:rPr>
            <w:rStyle w:val="Hyperlink"/>
            <w:lang w:val="en-GB"/>
          </w:rPr>
          <w:t>4</w:t>
        </w:r>
        <w:r w:rsidR="0007279C" w:rsidRPr="00831A31">
          <w:rPr>
            <w:rStyle w:val="Hyperlink"/>
            <w:vertAlign w:val="superscript"/>
            <w:lang w:val="en-GB"/>
          </w:rPr>
          <w:t>th</w:t>
        </w:r>
        <w:r w:rsidR="0007279C" w:rsidRPr="00831A31">
          <w:rPr>
            <w:rStyle w:val="Hyperlink"/>
            <w:lang w:val="en-GB"/>
          </w:rPr>
          <w:t xml:space="preserve"> Enhanced Follow-Up Report &amp; Technical Compliance Re-Rating</w:t>
        </w:r>
      </w:hyperlink>
      <w:r w:rsidR="0007279C">
        <w:rPr>
          <w:lang w:val="en-GB"/>
        </w:rPr>
        <w:t xml:space="preserve"> (December 2023) </w:t>
      </w:r>
    </w:p>
    <w:p w14:paraId="7AA840F7" w14:textId="77777777" w:rsidR="0007279C" w:rsidRDefault="0007279C" w:rsidP="0007279C">
      <w:pPr>
        <w:pStyle w:val="NoSpacing"/>
        <w:rPr>
          <w:lang w:val="en-GB"/>
        </w:rPr>
      </w:pPr>
      <w:r>
        <w:rPr>
          <w:lang w:val="en-GB"/>
        </w:rPr>
        <w:t>At the 67</w:t>
      </w:r>
      <w:r w:rsidRPr="00831A31">
        <w:rPr>
          <w:vertAlign w:val="superscript"/>
          <w:lang w:val="en-GB"/>
        </w:rPr>
        <w:t>th</w:t>
      </w:r>
      <w:r>
        <w:rPr>
          <w:lang w:val="en-GB"/>
        </w:rPr>
        <w:t xml:space="preserve"> plenary meeting (May 2024), it was decided that the country would remain under CEPs. At the 68</w:t>
      </w:r>
      <w:r w:rsidRPr="00831A31">
        <w:rPr>
          <w:vertAlign w:val="superscript"/>
          <w:lang w:val="en-GB"/>
        </w:rPr>
        <w:t>th</w:t>
      </w:r>
      <w:r>
        <w:rPr>
          <w:lang w:val="en-GB"/>
        </w:rPr>
        <w:t xml:space="preserve"> plenary meeting (December 2024), CEPs were terminated after sufficient progress has been made.</w:t>
      </w:r>
    </w:p>
    <w:p w14:paraId="23D13553" w14:textId="77777777" w:rsidR="0007279C" w:rsidRDefault="0007279C" w:rsidP="0007279C">
      <w:pPr>
        <w:pStyle w:val="NoSpacing"/>
        <w:rPr>
          <w:lang w:val="en-GB"/>
        </w:rPr>
      </w:pPr>
    </w:p>
    <w:p w14:paraId="2BF772B7" w14:textId="77777777" w:rsidR="0007279C" w:rsidRDefault="0007279C" w:rsidP="0007279C">
      <w:pPr>
        <w:pStyle w:val="NoSpacing"/>
        <w:rPr>
          <w:lang w:val="en-GB"/>
        </w:rPr>
      </w:pPr>
      <w:r>
        <w:rPr>
          <w:lang w:val="en-GB"/>
        </w:rPr>
        <w:t xml:space="preserve">COP 198 </w:t>
      </w:r>
    </w:p>
    <w:p w14:paraId="4EF8ADD9" w14:textId="77777777" w:rsidR="0007279C" w:rsidRPr="00030502" w:rsidRDefault="00000000" w:rsidP="0007279C">
      <w:pPr>
        <w:pStyle w:val="NoSpacing"/>
        <w:rPr>
          <w:rFonts w:ascii="Calibri" w:hAnsi="Calibri" w:cs="Calibri"/>
          <w:color w:val="161616"/>
          <w:lang w:val="en-GB"/>
        </w:rPr>
      </w:pPr>
      <w:hyperlink r:id="rId21" w:history="1">
        <w:r w:rsidR="0007279C" w:rsidRPr="0071496B">
          <w:rPr>
            <w:rStyle w:val="Hyperlink"/>
            <w:rFonts w:ascii="Calibri" w:hAnsi="Calibri" w:cs="Calibri"/>
            <w:lang w:val="en-GB"/>
          </w:rPr>
          <w:t>Fo</w:t>
        </w:r>
        <w:r w:rsidR="0007279C">
          <w:rPr>
            <w:rStyle w:val="Hyperlink"/>
            <w:rFonts w:ascii="Calibri" w:hAnsi="Calibri" w:cs="Calibri"/>
            <w:lang w:val="en-GB"/>
          </w:rPr>
          <w:t>llow-up report on</w:t>
        </w:r>
        <w:r w:rsidR="0007279C" w:rsidRPr="00030502">
          <w:rPr>
            <w:rStyle w:val="Hyperlink"/>
            <w:rFonts w:ascii="Calibri" w:hAnsi="Calibri" w:cs="Calibri"/>
            <w:lang w:val="en-GB"/>
          </w:rPr>
          <w:t xml:space="preserve"> </w:t>
        </w:r>
        <w:r w:rsidR="0007279C">
          <w:rPr>
            <w:rStyle w:val="Hyperlink"/>
            <w:rFonts w:ascii="Calibri" w:hAnsi="Calibri" w:cs="Calibri"/>
            <w:lang w:val="en-GB"/>
          </w:rPr>
          <w:t>implementation</w:t>
        </w:r>
        <w:r w:rsidR="0007279C" w:rsidRPr="00030502">
          <w:rPr>
            <w:rStyle w:val="Hyperlink"/>
            <w:rFonts w:ascii="Calibri" w:hAnsi="Calibri" w:cs="Calibri"/>
            <w:lang w:val="en-GB"/>
          </w:rPr>
          <w:t xml:space="preserve"> of art. 7(2(c)) and 19(1) of the Warsaw Convention</w:t>
        </w:r>
      </w:hyperlink>
    </w:p>
    <w:p w14:paraId="19FA5E16" w14:textId="77777777" w:rsidR="0007279C" w:rsidRPr="00F02266" w:rsidRDefault="0007279C" w:rsidP="00440B8B">
      <w:pPr>
        <w:rPr>
          <w:lang w:val="en-GB"/>
        </w:rPr>
      </w:pPr>
    </w:p>
    <w:p w14:paraId="25584E3A" w14:textId="77777777" w:rsidR="0095725A" w:rsidRPr="00440B8B" w:rsidRDefault="0095725A" w:rsidP="0095725A">
      <w:pPr>
        <w:keepNext/>
        <w:spacing w:before="320"/>
        <w:outlineLvl w:val="0"/>
        <w:rPr>
          <w:rFonts w:ascii="Calibri Light" w:eastAsia="Times New Roman" w:hAnsi="Calibri Light" w:cs="Calibri Light"/>
          <w:color w:val="2F5496"/>
          <w:kern w:val="36"/>
          <w:sz w:val="32"/>
          <w:szCs w:val="32"/>
          <w:lang w:val="en-GB"/>
        </w:rPr>
      </w:pPr>
    </w:p>
    <w:p w14:paraId="47BDCCFA" w14:textId="77777777" w:rsidR="0095725A" w:rsidRPr="0095725A" w:rsidRDefault="0095725A" w:rsidP="0095725A">
      <w:pPr>
        <w:keepNext/>
        <w:spacing w:before="320"/>
        <w:outlineLvl w:val="0"/>
        <w:rPr>
          <w:rFonts w:ascii="Calibri Light" w:eastAsia="Times New Roman" w:hAnsi="Calibri Light" w:cs="Calibri Light"/>
          <w:color w:val="2F5496"/>
          <w:kern w:val="36"/>
          <w:sz w:val="32"/>
          <w:szCs w:val="32"/>
          <w:lang w:val="en-US"/>
        </w:rPr>
      </w:pPr>
    </w:p>
    <w:p w14:paraId="576D7EB7" w14:textId="77777777" w:rsidR="0095725A" w:rsidRPr="0095725A" w:rsidRDefault="0095725A" w:rsidP="0095725A">
      <w:pPr>
        <w:keepNext/>
        <w:spacing w:before="320"/>
        <w:outlineLvl w:val="0"/>
        <w:rPr>
          <w:rFonts w:ascii="Calibri Light" w:eastAsia="Times New Roman" w:hAnsi="Calibri Light" w:cs="Calibri Light"/>
          <w:color w:val="2F5496"/>
          <w:kern w:val="36"/>
          <w:sz w:val="32"/>
          <w:szCs w:val="32"/>
          <w:lang w:val="en-US"/>
        </w:rPr>
      </w:pPr>
      <w:bookmarkStart w:id="5" w:name="_Toc36635845"/>
      <w:r w:rsidRPr="0095725A">
        <w:rPr>
          <w:rFonts w:ascii="Calibri Light" w:eastAsia="Times New Roman" w:hAnsi="Calibri Light" w:cs="Calibri Light"/>
          <w:color w:val="2F5496"/>
          <w:kern w:val="36"/>
          <w:sz w:val="32"/>
          <w:szCs w:val="32"/>
          <w:lang w:val="en-US"/>
        </w:rPr>
        <w:t>III Media pluralism</w:t>
      </w:r>
      <w:bookmarkEnd w:id="5"/>
      <w:r w:rsidRPr="0095725A">
        <w:rPr>
          <w:rFonts w:ascii="Calibri Light" w:eastAsia="Times New Roman" w:hAnsi="Calibri Light" w:cs="Calibri Light"/>
          <w:color w:val="2F5496"/>
          <w:kern w:val="36"/>
          <w:sz w:val="32"/>
          <w:szCs w:val="32"/>
          <w:lang w:val="en-US"/>
        </w:rPr>
        <w:t xml:space="preserve"> </w:t>
      </w:r>
    </w:p>
    <w:p w14:paraId="1EA321E7" w14:textId="77777777" w:rsidR="0095725A" w:rsidRPr="0095725A" w:rsidRDefault="0095725A" w:rsidP="0095725A">
      <w:pPr>
        <w:keepNext/>
        <w:spacing w:before="320"/>
        <w:outlineLvl w:val="0"/>
        <w:rPr>
          <w:rFonts w:ascii="Calibri Light" w:eastAsia="Times New Roman" w:hAnsi="Calibri Light" w:cs="Calibri Light"/>
          <w:color w:val="2F5496"/>
          <w:kern w:val="36"/>
          <w:sz w:val="32"/>
          <w:szCs w:val="32"/>
          <w:lang w:val="en-US"/>
        </w:rPr>
      </w:pPr>
    </w:p>
    <w:p w14:paraId="73585236" w14:textId="77777777" w:rsidR="0095725A" w:rsidRPr="0095725A" w:rsidRDefault="0095725A" w:rsidP="0095725A">
      <w:pPr>
        <w:keepNext/>
        <w:spacing w:before="320"/>
        <w:outlineLvl w:val="0"/>
        <w:rPr>
          <w:rFonts w:ascii="Calibri Light" w:eastAsia="Times New Roman" w:hAnsi="Calibri Light" w:cs="Calibri Light"/>
          <w:color w:val="2F5496"/>
          <w:kern w:val="36"/>
          <w:sz w:val="32"/>
          <w:szCs w:val="32"/>
          <w:lang w:val="en-US"/>
        </w:rPr>
      </w:pPr>
    </w:p>
    <w:p w14:paraId="1E56E3C5" w14:textId="77777777" w:rsidR="0095725A" w:rsidRPr="0095725A" w:rsidRDefault="0095725A" w:rsidP="0095725A">
      <w:pPr>
        <w:keepNext/>
        <w:spacing w:before="320"/>
        <w:outlineLvl w:val="0"/>
        <w:rPr>
          <w:rFonts w:ascii="Calibri Light" w:eastAsia="Times New Roman" w:hAnsi="Calibri Light" w:cs="Calibri Light"/>
          <w:color w:val="2F5496"/>
          <w:kern w:val="36"/>
          <w:sz w:val="32"/>
          <w:szCs w:val="32"/>
          <w:lang w:val="en-US"/>
        </w:rPr>
      </w:pPr>
      <w:bookmarkStart w:id="6" w:name="_Toc36635858"/>
      <w:r w:rsidRPr="0095725A">
        <w:rPr>
          <w:rFonts w:ascii="Calibri Light" w:eastAsia="Times New Roman" w:hAnsi="Calibri Light" w:cs="Calibri Light"/>
          <w:color w:val="2F5496"/>
          <w:kern w:val="36"/>
          <w:sz w:val="32"/>
          <w:szCs w:val="32"/>
          <w:lang w:val="en-US"/>
        </w:rPr>
        <w:t>IV Other institutional issues related to checks and balances</w:t>
      </w:r>
      <w:bookmarkEnd w:id="6"/>
      <w:r w:rsidRPr="0095725A">
        <w:rPr>
          <w:rFonts w:ascii="Calibri Light" w:eastAsia="Times New Roman" w:hAnsi="Calibri Light" w:cs="Calibri Light"/>
          <w:color w:val="2F5496"/>
          <w:kern w:val="36"/>
          <w:sz w:val="32"/>
          <w:szCs w:val="32"/>
          <w:lang w:val="en-US"/>
        </w:rPr>
        <w:t xml:space="preserve"> </w:t>
      </w:r>
    </w:p>
    <w:p w14:paraId="4024A90D" w14:textId="77777777" w:rsidR="0095725A" w:rsidRDefault="0095725A">
      <w:pPr>
        <w:rPr>
          <w:rFonts w:cs="Arial"/>
          <w:color w:val="FFFFFF" w:themeColor="background1"/>
          <w:sz w:val="22"/>
          <w:szCs w:val="22"/>
          <w:shd w:val="clear" w:color="auto" w:fill="1F3864" w:themeFill="accent1" w:themeFillShade="80"/>
          <w:lang w:val="en-US"/>
        </w:rPr>
      </w:pPr>
    </w:p>
    <w:p w14:paraId="0BEE2F1A" w14:textId="77777777" w:rsidR="0018452F" w:rsidRPr="00614F9A" w:rsidRDefault="0018452F" w:rsidP="0018452F">
      <w:pPr>
        <w:shd w:val="clear" w:color="auto" w:fill="FFFFFF"/>
        <w:spacing w:before="300" w:after="300"/>
        <w:jc w:val="both"/>
        <w:rPr>
          <w:rFonts w:eastAsia="Times New Roman" w:cstheme="minorHAnsi"/>
          <w:lang w:val="en-US" w:eastAsia="fr-FR"/>
        </w:rPr>
      </w:pPr>
      <w:r w:rsidRPr="00614F9A">
        <w:rPr>
          <w:rFonts w:cstheme="minorHAnsi"/>
          <w:lang w:val="en-US"/>
        </w:rPr>
        <w:t xml:space="preserve">Following the judgment of the European Court of Human Rights in </w:t>
      </w:r>
      <w:proofErr w:type="spellStart"/>
      <w:r w:rsidRPr="00614F9A">
        <w:rPr>
          <w:rFonts w:cstheme="minorHAnsi"/>
          <w:i/>
          <w:iCs/>
          <w:lang w:val="en-US"/>
        </w:rPr>
        <w:t>Macatė</w:t>
      </w:r>
      <w:proofErr w:type="spellEnd"/>
      <w:r w:rsidRPr="00614F9A">
        <w:rPr>
          <w:rFonts w:cstheme="minorHAnsi"/>
          <w:i/>
          <w:iCs/>
          <w:lang w:val="en-US"/>
        </w:rPr>
        <w:t xml:space="preserve"> v Lithuania</w:t>
      </w:r>
      <w:r w:rsidRPr="00614F9A">
        <w:rPr>
          <w:rFonts w:cstheme="minorHAnsi"/>
          <w:lang w:val="en-US"/>
        </w:rPr>
        <w:t xml:space="preserve">, the Ministry of Justice prepared a draft law aiming at executing the judgment, which was however rejected by Parliament in November </w:t>
      </w:r>
      <w:r w:rsidRPr="00614F9A">
        <w:rPr>
          <w:rFonts w:cstheme="minorHAnsi"/>
          <w:lang w:val="en-US"/>
        </w:rPr>
        <w:lastRenderedPageBreak/>
        <w:t>2023. Following that, the Government applied to the Constitutional Court</w:t>
      </w:r>
      <w:r>
        <w:rPr>
          <w:rFonts w:cstheme="minorHAnsi"/>
          <w:lang w:val="en-US"/>
        </w:rPr>
        <w:t>. By a decision of 18 December 2024,</w:t>
      </w:r>
      <w:r>
        <w:rPr>
          <w:rStyle w:val="FootnoteReference"/>
          <w:rFonts w:cstheme="minorHAnsi"/>
          <w:lang w:val="en-US"/>
        </w:rPr>
        <w:footnoteReference w:id="1"/>
      </w:r>
      <w:r>
        <w:rPr>
          <w:rFonts w:cstheme="minorHAnsi"/>
          <w:lang w:val="en-US"/>
        </w:rPr>
        <w:t xml:space="preserve"> the </w:t>
      </w:r>
      <w:r w:rsidRPr="00614F9A">
        <w:rPr>
          <w:rFonts w:eastAsia="Times New Roman" w:cstheme="minorHAnsi"/>
          <w:color w:val="000000"/>
          <w:lang w:val="en-US" w:eastAsia="fr-FR"/>
        </w:rPr>
        <w:t xml:space="preserve">Constitutional Court declared unconstitutional the provision of the Lithuanian Law on the protection of minors against the detrimental effect of public information, prohibiting </w:t>
      </w:r>
      <w:r w:rsidRPr="00614F9A">
        <w:rPr>
          <w:rFonts w:eastAsia="Times New Roman" w:cstheme="minorHAnsi"/>
          <w:i/>
          <w:iCs/>
          <w:color w:val="000000"/>
          <w:lang w:val="en-US" w:eastAsia="fr-FR"/>
        </w:rPr>
        <w:t>inter alia</w:t>
      </w:r>
      <w:r w:rsidRPr="00614F9A">
        <w:rPr>
          <w:rFonts w:eastAsia="Times New Roman" w:cstheme="minorHAnsi"/>
          <w:color w:val="000000"/>
          <w:lang w:val="en-US" w:eastAsia="fr-FR"/>
        </w:rPr>
        <w:t xml:space="preserve"> the dissemination of public information that portrays same-sex relationships as essentially equivalent to opposite-sex relationships. The court said that a legal framework which imposes restrictions on the freedom to receive and imposes limitations on the dissemination of information, including restrictions on information on a variety of family models and relationships, hinders the development of minor children as mature, well-rounded individuals, and is incompatible with the State's constitutional duty to ensure the harmonious and full development of the child, based on respect for human rights and dignity, and on the values of equality, pluralism and tolerance which are inherent to democratic societies. </w:t>
      </w:r>
    </w:p>
    <w:p w14:paraId="0FF3C49C" w14:textId="77777777" w:rsidR="0018452F" w:rsidRPr="008B6B20" w:rsidRDefault="0018452F">
      <w:pPr>
        <w:rPr>
          <w:rFonts w:cs="Arial"/>
          <w:color w:val="FFFFFF" w:themeColor="background1"/>
          <w:sz w:val="22"/>
          <w:szCs w:val="22"/>
          <w:shd w:val="clear" w:color="auto" w:fill="1F3864" w:themeFill="accent1" w:themeFillShade="80"/>
          <w:lang w:val="en-US"/>
        </w:rPr>
      </w:pPr>
    </w:p>
    <w:sectPr w:rsidR="0018452F" w:rsidRPr="008B6B20" w:rsidSect="007B3B82">
      <w:footerReference w:type="default" r:id="rId22"/>
      <w:footerReference w:type="first" r:id="rId2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021C" w14:textId="77777777" w:rsidR="008F40B3" w:rsidRDefault="008F40B3" w:rsidP="00857FF1">
      <w:r>
        <w:separator/>
      </w:r>
    </w:p>
  </w:endnote>
  <w:endnote w:type="continuationSeparator" w:id="0">
    <w:p w14:paraId="790EAA05" w14:textId="77777777" w:rsidR="008F40B3" w:rsidRDefault="008F40B3"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4CD62" w14:textId="77777777" w:rsidR="008F40B3" w:rsidRDefault="008F40B3" w:rsidP="00857FF1">
      <w:r>
        <w:separator/>
      </w:r>
    </w:p>
  </w:footnote>
  <w:footnote w:type="continuationSeparator" w:id="0">
    <w:p w14:paraId="630E706E" w14:textId="77777777" w:rsidR="008F40B3" w:rsidRDefault="008F40B3" w:rsidP="00857FF1">
      <w:r>
        <w:continuationSeparator/>
      </w:r>
    </w:p>
  </w:footnote>
  <w:footnote w:id="1">
    <w:p w14:paraId="4B91ABC5" w14:textId="77777777" w:rsidR="0018452F" w:rsidRPr="00F212CC" w:rsidRDefault="0018452F" w:rsidP="0018452F">
      <w:pPr>
        <w:pStyle w:val="FootnoteText"/>
        <w:rPr>
          <w:rFonts w:cstheme="minorHAnsi"/>
          <w:sz w:val="16"/>
          <w:szCs w:val="16"/>
        </w:rPr>
      </w:pPr>
      <w:r w:rsidRPr="00F212CC">
        <w:rPr>
          <w:rStyle w:val="FootnoteReference"/>
          <w:rFonts w:cstheme="minorHAnsi"/>
          <w:sz w:val="16"/>
          <w:szCs w:val="16"/>
        </w:rPr>
        <w:footnoteRef/>
      </w:r>
      <w:r w:rsidRPr="00F212CC">
        <w:rPr>
          <w:rFonts w:cstheme="minorHAnsi"/>
          <w:sz w:val="16"/>
          <w:szCs w:val="16"/>
        </w:rPr>
        <w:t xml:space="preserve">. </w:t>
      </w:r>
      <w:hyperlink r:id="rId1" w:history="1">
        <w:proofErr w:type="spellStart"/>
        <w:r w:rsidRPr="00F212CC">
          <w:rPr>
            <w:rStyle w:val="Hyperlink"/>
            <w:rFonts w:cstheme="minorHAnsi"/>
            <w:sz w:val="16"/>
            <w:szCs w:val="16"/>
            <w:lang w:val="en-US"/>
          </w:rPr>
          <w:t>Paieška</w:t>
        </w:r>
        <w:proofErr w:type="spellEnd"/>
        <w:r w:rsidRPr="00F212CC">
          <w:rPr>
            <w:rStyle w:val="Hyperlink"/>
            <w:rFonts w:cstheme="minorHAnsi"/>
            <w:sz w:val="16"/>
            <w:szCs w:val="16"/>
            <w:lang w:val="en-US"/>
          </w:rPr>
          <w:t xml:space="preserve"> - </w:t>
        </w:r>
        <w:proofErr w:type="spellStart"/>
        <w:r w:rsidRPr="00F212CC">
          <w:rPr>
            <w:rStyle w:val="Hyperlink"/>
            <w:rFonts w:cstheme="minorHAnsi"/>
            <w:sz w:val="16"/>
            <w:szCs w:val="16"/>
            <w:lang w:val="en-US"/>
          </w:rPr>
          <w:t>Lietuvos</w:t>
        </w:r>
        <w:proofErr w:type="spellEnd"/>
        <w:r w:rsidRPr="00F212CC">
          <w:rPr>
            <w:rStyle w:val="Hyperlink"/>
            <w:rFonts w:cstheme="minorHAnsi"/>
            <w:sz w:val="16"/>
            <w:szCs w:val="16"/>
            <w:lang w:val="en-US"/>
          </w:rPr>
          <w:t xml:space="preserve"> </w:t>
        </w:r>
        <w:proofErr w:type="spellStart"/>
        <w:r w:rsidRPr="00F212CC">
          <w:rPr>
            <w:rStyle w:val="Hyperlink"/>
            <w:rFonts w:cstheme="minorHAnsi"/>
            <w:sz w:val="16"/>
            <w:szCs w:val="16"/>
            <w:lang w:val="en-US"/>
          </w:rPr>
          <w:t>Respublikos</w:t>
        </w:r>
        <w:proofErr w:type="spellEnd"/>
        <w:r w:rsidRPr="00F212CC">
          <w:rPr>
            <w:rStyle w:val="Hyperlink"/>
            <w:rFonts w:cstheme="minorHAnsi"/>
            <w:sz w:val="16"/>
            <w:szCs w:val="16"/>
            <w:lang w:val="en-US"/>
          </w:rPr>
          <w:t xml:space="preserve"> </w:t>
        </w:r>
        <w:proofErr w:type="spellStart"/>
        <w:r w:rsidRPr="00F212CC">
          <w:rPr>
            <w:rStyle w:val="Hyperlink"/>
            <w:rFonts w:cstheme="minorHAnsi"/>
            <w:sz w:val="16"/>
            <w:szCs w:val="16"/>
            <w:lang w:val="en-US"/>
          </w:rPr>
          <w:t>Konstitucinis</w:t>
        </w:r>
        <w:proofErr w:type="spellEnd"/>
        <w:r w:rsidRPr="00F212CC">
          <w:rPr>
            <w:rStyle w:val="Hyperlink"/>
            <w:rFonts w:cstheme="minorHAnsi"/>
            <w:sz w:val="16"/>
            <w:szCs w:val="16"/>
            <w:lang w:val="en-US"/>
          </w:rPr>
          <w:t xml:space="preserve"> </w:t>
        </w:r>
        <w:proofErr w:type="spellStart"/>
        <w:r w:rsidRPr="00F212CC">
          <w:rPr>
            <w:rStyle w:val="Hyperlink"/>
            <w:rFonts w:cstheme="minorHAnsi"/>
            <w:sz w:val="16"/>
            <w:szCs w:val="16"/>
            <w:lang w:val="en-US"/>
          </w:rPr>
          <w:t>Teismas</w:t>
        </w:r>
        <w:proofErr w:type="spellEnd"/>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EB151F2"/>
    <w:multiLevelType w:val="hybridMultilevel"/>
    <w:tmpl w:val="447469A8"/>
    <w:lvl w:ilvl="0" w:tplc="C3285F60">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6"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7"/>
  </w:num>
  <w:num w:numId="4" w16cid:durableId="535509000">
    <w:abstractNumId w:val="5"/>
  </w:num>
  <w:num w:numId="5" w16cid:durableId="189495804">
    <w:abstractNumId w:val="10"/>
  </w:num>
  <w:num w:numId="6" w16cid:durableId="2070767956">
    <w:abstractNumId w:val="6"/>
  </w:num>
  <w:num w:numId="7" w16cid:durableId="1484002443">
    <w:abstractNumId w:val="8"/>
  </w:num>
  <w:num w:numId="8" w16cid:durableId="1293099640">
    <w:abstractNumId w:val="8"/>
  </w:num>
  <w:num w:numId="9" w16cid:durableId="196361223">
    <w:abstractNumId w:val="2"/>
  </w:num>
  <w:num w:numId="10" w16cid:durableId="1182088185">
    <w:abstractNumId w:val="9"/>
  </w:num>
  <w:num w:numId="11" w16cid:durableId="360477782">
    <w:abstractNumId w:val="11"/>
  </w:num>
  <w:num w:numId="12" w16cid:durableId="1540388124">
    <w:abstractNumId w:val="0"/>
  </w:num>
  <w:num w:numId="13" w16cid:durableId="9030315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00C4"/>
    <w:rsid w:val="00057AA5"/>
    <w:rsid w:val="00062CBC"/>
    <w:rsid w:val="00064AF2"/>
    <w:rsid w:val="000707C5"/>
    <w:rsid w:val="00070C02"/>
    <w:rsid w:val="0007279C"/>
    <w:rsid w:val="00084C0B"/>
    <w:rsid w:val="00085157"/>
    <w:rsid w:val="00095F4E"/>
    <w:rsid w:val="000A0236"/>
    <w:rsid w:val="000B223F"/>
    <w:rsid w:val="000B4984"/>
    <w:rsid w:val="000C1783"/>
    <w:rsid w:val="000E51C1"/>
    <w:rsid w:val="000F73A4"/>
    <w:rsid w:val="001029E2"/>
    <w:rsid w:val="0011349E"/>
    <w:rsid w:val="00123EAE"/>
    <w:rsid w:val="0012499E"/>
    <w:rsid w:val="001257E8"/>
    <w:rsid w:val="001272D8"/>
    <w:rsid w:val="001279C3"/>
    <w:rsid w:val="00152FC1"/>
    <w:rsid w:val="00157DFE"/>
    <w:rsid w:val="001621AD"/>
    <w:rsid w:val="00167680"/>
    <w:rsid w:val="001708DF"/>
    <w:rsid w:val="00172847"/>
    <w:rsid w:val="0018452F"/>
    <w:rsid w:val="00184BFB"/>
    <w:rsid w:val="00187CD1"/>
    <w:rsid w:val="001909F2"/>
    <w:rsid w:val="00194CC7"/>
    <w:rsid w:val="001A0B36"/>
    <w:rsid w:val="001A0CF1"/>
    <w:rsid w:val="001C77D8"/>
    <w:rsid w:val="001D0AE0"/>
    <w:rsid w:val="001E0EB7"/>
    <w:rsid w:val="002027E7"/>
    <w:rsid w:val="002077C4"/>
    <w:rsid w:val="0021059A"/>
    <w:rsid w:val="00216EA1"/>
    <w:rsid w:val="00252DBE"/>
    <w:rsid w:val="00252F46"/>
    <w:rsid w:val="00254902"/>
    <w:rsid w:val="00255C44"/>
    <w:rsid w:val="00263456"/>
    <w:rsid w:val="00265693"/>
    <w:rsid w:val="002665BC"/>
    <w:rsid w:val="00267E73"/>
    <w:rsid w:val="00282225"/>
    <w:rsid w:val="0028366A"/>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3F4E0F"/>
    <w:rsid w:val="004012A1"/>
    <w:rsid w:val="004013FD"/>
    <w:rsid w:val="00405191"/>
    <w:rsid w:val="00411F51"/>
    <w:rsid w:val="00424436"/>
    <w:rsid w:val="00424AE6"/>
    <w:rsid w:val="00434E92"/>
    <w:rsid w:val="00440B8B"/>
    <w:rsid w:val="00443197"/>
    <w:rsid w:val="00457269"/>
    <w:rsid w:val="00464735"/>
    <w:rsid w:val="00471625"/>
    <w:rsid w:val="00491D94"/>
    <w:rsid w:val="0049205D"/>
    <w:rsid w:val="00496B58"/>
    <w:rsid w:val="004A628B"/>
    <w:rsid w:val="004B2966"/>
    <w:rsid w:val="004B4189"/>
    <w:rsid w:val="004C29C8"/>
    <w:rsid w:val="004C37B3"/>
    <w:rsid w:val="004C7D34"/>
    <w:rsid w:val="004D4A7E"/>
    <w:rsid w:val="004D4CB4"/>
    <w:rsid w:val="004E1ACA"/>
    <w:rsid w:val="004E3023"/>
    <w:rsid w:val="004E72B6"/>
    <w:rsid w:val="00530EC5"/>
    <w:rsid w:val="00542A1C"/>
    <w:rsid w:val="0054551A"/>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600E03"/>
    <w:rsid w:val="00602398"/>
    <w:rsid w:val="0061214D"/>
    <w:rsid w:val="00636AF8"/>
    <w:rsid w:val="00643F34"/>
    <w:rsid w:val="00647D6B"/>
    <w:rsid w:val="006502C5"/>
    <w:rsid w:val="0065310F"/>
    <w:rsid w:val="0066401C"/>
    <w:rsid w:val="00680789"/>
    <w:rsid w:val="00683C6A"/>
    <w:rsid w:val="006871F9"/>
    <w:rsid w:val="006952AF"/>
    <w:rsid w:val="0069684E"/>
    <w:rsid w:val="006B6601"/>
    <w:rsid w:val="006C5AF1"/>
    <w:rsid w:val="006C758C"/>
    <w:rsid w:val="006D3771"/>
    <w:rsid w:val="006D695E"/>
    <w:rsid w:val="00702CE9"/>
    <w:rsid w:val="007323D4"/>
    <w:rsid w:val="00734D8B"/>
    <w:rsid w:val="00742FA8"/>
    <w:rsid w:val="00744D22"/>
    <w:rsid w:val="00756962"/>
    <w:rsid w:val="0076072F"/>
    <w:rsid w:val="0076444E"/>
    <w:rsid w:val="00772288"/>
    <w:rsid w:val="007959C1"/>
    <w:rsid w:val="007A270E"/>
    <w:rsid w:val="007B3B82"/>
    <w:rsid w:val="007D198D"/>
    <w:rsid w:val="007D262D"/>
    <w:rsid w:val="007E2BE3"/>
    <w:rsid w:val="007F2A4E"/>
    <w:rsid w:val="007F352D"/>
    <w:rsid w:val="008131ED"/>
    <w:rsid w:val="00833485"/>
    <w:rsid w:val="00833496"/>
    <w:rsid w:val="00833AA1"/>
    <w:rsid w:val="00840C74"/>
    <w:rsid w:val="00857FF1"/>
    <w:rsid w:val="008617BA"/>
    <w:rsid w:val="00861CFB"/>
    <w:rsid w:val="0087426C"/>
    <w:rsid w:val="00887319"/>
    <w:rsid w:val="00893779"/>
    <w:rsid w:val="008A6094"/>
    <w:rsid w:val="008B037C"/>
    <w:rsid w:val="008B6B20"/>
    <w:rsid w:val="008C2E4F"/>
    <w:rsid w:val="008C38E9"/>
    <w:rsid w:val="008C51BC"/>
    <w:rsid w:val="008C605D"/>
    <w:rsid w:val="008D124A"/>
    <w:rsid w:val="008D5A29"/>
    <w:rsid w:val="008E1947"/>
    <w:rsid w:val="008F40B3"/>
    <w:rsid w:val="0090195D"/>
    <w:rsid w:val="00906927"/>
    <w:rsid w:val="00906B87"/>
    <w:rsid w:val="009522DA"/>
    <w:rsid w:val="0095725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36CCA"/>
    <w:rsid w:val="00A41DB0"/>
    <w:rsid w:val="00A42F38"/>
    <w:rsid w:val="00A43E9B"/>
    <w:rsid w:val="00A476D7"/>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541D"/>
    <w:rsid w:val="00AC6FD7"/>
    <w:rsid w:val="00AD3544"/>
    <w:rsid w:val="00AD4A17"/>
    <w:rsid w:val="00AD5BD0"/>
    <w:rsid w:val="00AF2279"/>
    <w:rsid w:val="00AF2511"/>
    <w:rsid w:val="00AF4B2D"/>
    <w:rsid w:val="00AF5605"/>
    <w:rsid w:val="00B22E3E"/>
    <w:rsid w:val="00B2424D"/>
    <w:rsid w:val="00B35012"/>
    <w:rsid w:val="00B36582"/>
    <w:rsid w:val="00B52587"/>
    <w:rsid w:val="00B764EA"/>
    <w:rsid w:val="00B807B6"/>
    <w:rsid w:val="00BD211A"/>
    <w:rsid w:val="00BD26EA"/>
    <w:rsid w:val="00BE1EE0"/>
    <w:rsid w:val="00BE2ADB"/>
    <w:rsid w:val="00BF5595"/>
    <w:rsid w:val="00C003A4"/>
    <w:rsid w:val="00C06969"/>
    <w:rsid w:val="00C06D56"/>
    <w:rsid w:val="00C25237"/>
    <w:rsid w:val="00C45527"/>
    <w:rsid w:val="00C5444D"/>
    <w:rsid w:val="00C6182C"/>
    <w:rsid w:val="00C75135"/>
    <w:rsid w:val="00C848FF"/>
    <w:rsid w:val="00C86F4B"/>
    <w:rsid w:val="00CC09C0"/>
    <w:rsid w:val="00CC0E4F"/>
    <w:rsid w:val="00CC5ABF"/>
    <w:rsid w:val="00CD7F9C"/>
    <w:rsid w:val="00CF0660"/>
    <w:rsid w:val="00CF1C6F"/>
    <w:rsid w:val="00D15B02"/>
    <w:rsid w:val="00D20872"/>
    <w:rsid w:val="00D31EA3"/>
    <w:rsid w:val="00D36177"/>
    <w:rsid w:val="00D37016"/>
    <w:rsid w:val="00D447C9"/>
    <w:rsid w:val="00D45CD6"/>
    <w:rsid w:val="00D66D1D"/>
    <w:rsid w:val="00D96E9B"/>
    <w:rsid w:val="00DA55DC"/>
    <w:rsid w:val="00DB1AB7"/>
    <w:rsid w:val="00DC7320"/>
    <w:rsid w:val="00DF19D6"/>
    <w:rsid w:val="00DF7C08"/>
    <w:rsid w:val="00E13798"/>
    <w:rsid w:val="00E147EE"/>
    <w:rsid w:val="00E2087D"/>
    <w:rsid w:val="00E21536"/>
    <w:rsid w:val="00E26C9B"/>
    <w:rsid w:val="00E27691"/>
    <w:rsid w:val="00E429AF"/>
    <w:rsid w:val="00E56906"/>
    <w:rsid w:val="00E81708"/>
    <w:rsid w:val="00E90AB0"/>
    <w:rsid w:val="00EA39A6"/>
    <w:rsid w:val="00ED1080"/>
    <w:rsid w:val="00ED2EDB"/>
    <w:rsid w:val="00ED7B5B"/>
    <w:rsid w:val="00EE24A2"/>
    <w:rsid w:val="00EF5D3B"/>
    <w:rsid w:val="00F070DD"/>
    <w:rsid w:val="00F3151D"/>
    <w:rsid w:val="00F375C2"/>
    <w:rsid w:val="00F448D1"/>
    <w:rsid w:val="00F5679C"/>
    <w:rsid w:val="00F71177"/>
    <w:rsid w:val="00F7793C"/>
    <w:rsid w:val="00F8213F"/>
    <w:rsid w:val="00F847EB"/>
    <w:rsid w:val="00F91B36"/>
    <w:rsid w:val="00F973E9"/>
    <w:rsid w:val="00FA480D"/>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4857775">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550654362">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hyperlink" Target="https://hudoc.exec.coe.int/eng?i=004-67049" TargetMode="External"/><Relationship Id="rId3" Type="http://schemas.openxmlformats.org/officeDocument/2006/relationships/styles" Target="styles.xml"/><Relationship Id="rId21" Type="http://schemas.openxmlformats.org/officeDocument/2006/relationships/hyperlink" Target="https://rm.coe.int/c198-cop-2024-17-cop-fur-art-7-and-19-en/1680b24d9d" TargetMode="External"/><Relationship Id="rId7" Type="http://schemas.openxmlformats.org/officeDocument/2006/relationships/endnotes" Target="endnotes.xml"/><Relationship Id="rId12" Type="http://schemas.openxmlformats.org/officeDocument/2006/relationships/hyperlink" Target="https://rm.coe.int/lithuania-eu-scoreboard-country-fiches-2022-data/1680b065fb" TargetMode="External"/><Relationship Id="rId17" Type="http://schemas.openxmlformats.org/officeDocument/2006/relationships/hyperlink" Target="https://hudoc.exec.coe.int/eng?i=DH-DD(2024)1330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hudoc.exec.coe.int/eng?i=004-66559" TargetMode="External"/><Relationship Id="rId20" Type="http://schemas.openxmlformats.org/officeDocument/2006/relationships/hyperlink" Target="https://rm.coe.int/moneyval-2023-22-li-5thround-4thenhfur/1680aec73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lithuania/1680b1df7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GI-Execution@coe.int" TargetMode="External"/><Relationship Id="rId23" Type="http://schemas.openxmlformats.org/officeDocument/2006/relationships/footer" Target="footer2.xml"/><Relationship Id="rId10" Type="http://schemas.openxmlformats.org/officeDocument/2006/relationships/hyperlink" Target="http://www.coe.int/en/web/cepej/cepej-stat" TargetMode="External"/><Relationship Id="rId19" Type="http://schemas.openxmlformats.org/officeDocument/2006/relationships/hyperlink" Target="https://rm.coe.int/grecorc5-2024-5-final-eng-compliance-report-lithuania-public/1680afa62b"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rkt.lt/lt/teismo-aktai/paieska/135/ta3089/cont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821</Words>
  <Characters>4519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6</cp:revision>
  <dcterms:created xsi:type="dcterms:W3CDTF">2025-01-20T14:43:00Z</dcterms:created>
  <dcterms:modified xsi:type="dcterms:W3CDTF">2025-01-31T11:24:00Z</dcterms:modified>
</cp:coreProperties>
</file>